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A66BB" w14:textId="77777777" w:rsidR="003F74FC" w:rsidRPr="003F74FC" w:rsidRDefault="003F74FC" w:rsidP="003F74FC">
      <w:pPr>
        <w:spacing w:before="100" w:beforeAutospacing="1" w:after="100" w:afterAutospacing="1"/>
        <w:rPr>
          <w:rFonts w:ascii="Arial" w:eastAsia="Times New Roman" w:hAnsi="Arial" w:cs="Arial"/>
          <w:b/>
          <w:bCs/>
          <w:i/>
          <w:iCs/>
          <w:color w:val="FF0000"/>
          <w:sz w:val="22"/>
          <w:szCs w:val="22"/>
          <w:lang w:eastAsia="en-GB"/>
        </w:rPr>
      </w:pPr>
    </w:p>
    <w:p w14:paraId="160A9B9C" w14:textId="37AA889C" w:rsidR="003F74FC" w:rsidRPr="003F74FC" w:rsidRDefault="003F74FC" w:rsidP="003F74FC">
      <w:pPr>
        <w:spacing w:before="100" w:beforeAutospacing="1" w:after="100" w:afterAutospacing="1"/>
        <w:rPr>
          <w:rFonts w:ascii="Arial" w:eastAsia="Times New Roman" w:hAnsi="Arial" w:cs="Arial"/>
          <w:sz w:val="21"/>
          <w:szCs w:val="21"/>
          <w:lang w:eastAsia="en-GB"/>
        </w:rPr>
      </w:pPr>
      <w:r w:rsidRPr="003F74FC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en-GB"/>
        </w:rPr>
        <w:t>PRESS RELEASE: For Release at 9am GST (Gulf Standard Time), Thursday</w:t>
      </w:r>
      <w:r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en-GB"/>
        </w:rPr>
        <w:t>,</w:t>
      </w:r>
      <w:r w:rsidRPr="003F74FC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en-GB"/>
        </w:rPr>
        <w:t xml:space="preserve"> 28</w:t>
      </w:r>
      <w:r w:rsidRPr="003F74FC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vertAlign w:val="superscript"/>
          <w:lang w:eastAsia="en-GB"/>
        </w:rPr>
        <w:t>th</w:t>
      </w:r>
      <w:r w:rsidRPr="003F74FC">
        <w:rPr>
          <w:rFonts w:ascii="Arial" w:eastAsia="Times New Roman" w:hAnsi="Arial" w:cs="Arial"/>
          <w:b/>
          <w:bCs/>
          <w:i/>
          <w:iCs/>
          <w:color w:val="FF0000"/>
          <w:sz w:val="21"/>
          <w:szCs w:val="21"/>
          <w:lang w:eastAsia="en-GB"/>
        </w:rPr>
        <w:t xml:space="preserve"> July 2022</w:t>
      </w:r>
    </w:p>
    <w:p w14:paraId="3000767B" w14:textId="56AE916E" w:rsidR="003F74FC" w:rsidRPr="003F74FC" w:rsidRDefault="003F74FC" w:rsidP="003F74FC">
      <w:pPr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Global 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Islamic Fintech market estimated at $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79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billion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in transaction volume (202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), and projected to grow to $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179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billion by 202</w:t>
      </w:r>
      <w:r w:rsidR="003968B5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6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: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Global Islamic Fintech (GIFT) Report 202</w:t>
      </w:r>
      <w:r w:rsidR="00947AB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2 launched today.</w:t>
      </w:r>
    </w:p>
    <w:p w14:paraId="1CCE191D" w14:textId="7DF5B6A2" w:rsidR="003F74FC" w:rsidRPr="003F74FC" w:rsidRDefault="003F74FC" w:rsidP="003F74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The GIFT Index ranks 64 country hubs on conduciveness for Islamic Fintech, with </w:t>
      </w:r>
      <w:r w:rsidR="00947AB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Malaysia and 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Saudi Arabia </w:t>
      </w:r>
      <w:r w:rsidR="00947AB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the standout jurisdictions and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947AB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the 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Indonesia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, the UAE and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the UK 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forming the top five.</w:t>
      </w:r>
    </w:p>
    <w:p w14:paraId="29A62B81" w14:textId="7F6341E6" w:rsidR="003F74FC" w:rsidRPr="003F74FC" w:rsidRDefault="00947ABA" w:rsidP="003F74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i/>
          <w:iCs/>
          <w:sz w:val="22"/>
          <w:szCs w:val="22"/>
          <w:lang w:eastAsia="en-GB"/>
        </w:rPr>
        <w:t>375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Islamic Fintech firms identified globally operating across 9 </w:t>
      </w:r>
      <w:proofErr w:type="spellStart"/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iFintech</w:t>
      </w:r>
      <w:proofErr w:type="spellEnd"/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Service segments, operations and enabling technology verticals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.</w:t>
      </w:r>
    </w:p>
    <w:p w14:paraId="66DFAFA7" w14:textId="7B762B2C" w:rsidR="003F74FC" w:rsidRPr="003F74FC" w:rsidRDefault="003F74FC" w:rsidP="003F74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Survey of 100 industry practitioners identifies Consumer Education, </w:t>
      </w:r>
      <w:r w:rsidR="00947AB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Access to Capital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, Regulation, 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Finding Talent 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and cost of Customer Acquisition 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as the biggest hurdles faced by Islamic Fintechs. </w:t>
      </w:r>
    </w:p>
    <w:p w14:paraId="2E6297EC" w14:textId="1DE40BC5" w:rsidR="003F74FC" w:rsidRPr="003F74FC" w:rsidRDefault="003F74FC" w:rsidP="003F74F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Payments, Deposits &amp; Lending, and Raising Funds, as service categories continue to display high momentum, and represent low-hanging fruit for investors</w:t>
      </w:r>
      <w:r w:rsidR="008232AA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.</w:t>
      </w:r>
      <w:r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</w:p>
    <w:p w14:paraId="176B150D" w14:textId="0FBB63FC" w:rsidR="003F74FC" w:rsidRPr="003F74FC" w:rsidRDefault="00947ABA" w:rsidP="003F74F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>Dubai, London; 28</w:t>
      </w:r>
      <w:r w:rsidRPr="00947ABA">
        <w:rPr>
          <w:rFonts w:ascii="Arial" w:eastAsia="Times New Roman" w:hAnsi="Arial" w:cs="Arial"/>
          <w:b/>
          <w:bCs/>
          <w:i/>
          <w:iCs/>
          <w:sz w:val="22"/>
          <w:szCs w:val="22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 July 2022</w:t>
      </w:r>
      <w:r w:rsidR="003F74FC" w:rsidRPr="003F74FC">
        <w:rPr>
          <w:rFonts w:ascii="Arial" w:eastAsia="Times New Roman" w:hAnsi="Arial" w:cs="Arial"/>
          <w:b/>
          <w:bCs/>
          <w:i/>
          <w:iCs/>
          <w:sz w:val="22"/>
          <w:szCs w:val="22"/>
          <w:lang w:eastAsia="en-GB"/>
        </w:rPr>
        <w:t xml:space="preserve"> 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– </w:t>
      </w:r>
      <w:proofErr w:type="spellStart"/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>DinarStandard</w:t>
      </w:r>
      <w:proofErr w:type="spellEnd"/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r w:rsidR="00253649" w:rsidRPr="00253649">
        <w:rPr>
          <w:rFonts w:ascii="Arial" w:eastAsia="Times New Roman" w:hAnsi="Arial" w:cs="Arial"/>
          <w:sz w:val="22"/>
          <w:szCs w:val="22"/>
          <w:lang w:eastAsia="en-GB"/>
        </w:rPr>
        <w:t xml:space="preserve">a US based </w:t>
      </w:r>
      <w:r w:rsidR="00253649" w:rsidRPr="00253649">
        <w:rPr>
          <w:rFonts w:ascii="Arial" w:hAnsi="Arial" w:cs="Arial"/>
          <w:sz w:val="22"/>
          <w:szCs w:val="22"/>
        </w:rPr>
        <w:t>research and advisory firm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>, and Elipses, a leading ethical digital finance advisory and investment firm today jointly released the Global Islamic Fintech (GIFT) Report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2022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, the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annual sector report on the 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>Islamic Fintech market</w:t>
      </w:r>
      <w:r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encompassing a Market Sizing of Islamic Fintech across the Organisation of Islamic Cooperation (OIC) countries, a GIFT Index assessing 64 countries on their conduciveness to Islamic Fintech activity, </w:t>
      </w:r>
      <w:r>
        <w:rPr>
          <w:rFonts w:ascii="Arial" w:eastAsia="Times New Roman" w:hAnsi="Arial" w:cs="Arial"/>
          <w:sz w:val="22"/>
          <w:szCs w:val="22"/>
          <w:lang w:eastAsia="en-GB"/>
        </w:rPr>
        <w:t>a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>n industry survey gathering feedback from industry practitioners</w:t>
      </w:r>
      <w:r>
        <w:rPr>
          <w:rFonts w:ascii="Arial" w:eastAsia="Times New Roman" w:hAnsi="Arial" w:cs="Arial"/>
          <w:sz w:val="22"/>
          <w:szCs w:val="22"/>
          <w:lang w:eastAsia="en-GB"/>
        </w:rPr>
        <w:t>, and the most comprehensive database of Islamic Fintech firms globally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02133ECF" w14:textId="6736D945" w:rsidR="003F74FC" w:rsidRPr="003F74FC" w:rsidRDefault="003F74FC" w:rsidP="00676CDC">
      <w:pPr>
        <w:rPr>
          <w:rFonts w:ascii="Arial" w:hAnsi="Arial" w:cs="Arial"/>
          <w:sz w:val="22"/>
          <w:szCs w:val="22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>The estimated Islamic Fintech market size (based on transaction volume) reached $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7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9 billion and is expected to grow on average by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18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>% annually, to reach $1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79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billion by 202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6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. The top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six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OIC Fintech markets by transaction volume for Islamic Fintech are Saudi Arabia,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 xml:space="preserve">Iran,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Malaysia,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 xml:space="preserve">UAE,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Turkey and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Indonesia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. Collectively, the Top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6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markets account for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81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% of the OIC Islamic Fintech market size, </w:t>
      </w:r>
      <w:r w:rsidR="00676CDC" w:rsidRPr="00676CDC">
        <w:rPr>
          <w:rFonts w:ascii="Arial" w:hAnsi="Arial" w:cs="Arial"/>
          <w:sz w:val="22"/>
          <w:szCs w:val="22"/>
        </w:rPr>
        <w:t xml:space="preserve">indicating two dominant regional centres emerging amongst OIC countries for Islamic Fintech.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5535E098" w14:textId="39D8AF87" w:rsidR="00676CDC" w:rsidRPr="00676CDC" w:rsidRDefault="003F74FC" w:rsidP="00676CDC">
      <w:pPr>
        <w:shd w:val="clear" w:color="auto" w:fill="FFFFFF"/>
        <w:rPr>
          <w:rFonts w:ascii="Arial" w:hAnsi="Arial" w:cs="Arial"/>
          <w:sz w:val="22"/>
          <w:szCs w:val="22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The GIFT index analysed 64 countries and applied a total of </w:t>
      </w:r>
      <w:r w:rsidR="00676CDC">
        <w:rPr>
          <w:rFonts w:ascii="Arial" w:eastAsia="Times New Roman" w:hAnsi="Arial" w:cs="Arial"/>
          <w:sz w:val="22"/>
          <w:szCs w:val="22"/>
          <w:lang w:eastAsia="en-GB"/>
        </w:rPr>
        <w:t>19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indicators across five different categories for each country. These five categories are: Talent; Regulation; Infrastructure; Islamic Fintech Market &amp; Ecosystem; and Capital. Categories were weighted in order to derive an overall score, </w:t>
      </w:r>
      <w:r w:rsidR="00676CDC" w:rsidRPr="00676CDC">
        <w:rPr>
          <w:rFonts w:ascii="Arial" w:hAnsi="Arial" w:cs="Arial"/>
          <w:sz w:val="22"/>
          <w:szCs w:val="22"/>
        </w:rPr>
        <w:t>with a heavier weighting given to the Islamic Fintech Market &amp; Ecosystem categories, since this is the</w:t>
      </w:r>
      <w:r w:rsidR="00676CDC">
        <w:rPr>
          <w:rFonts w:ascii="Arial" w:hAnsi="Arial" w:cs="Arial"/>
          <w:sz w:val="22"/>
          <w:szCs w:val="22"/>
        </w:rPr>
        <w:t xml:space="preserve"> </w:t>
      </w:r>
      <w:r w:rsidR="00676CDC" w:rsidRPr="00676CDC">
        <w:rPr>
          <w:rFonts w:ascii="Arial" w:hAnsi="Arial" w:cs="Arial"/>
          <w:sz w:val="22"/>
          <w:szCs w:val="22"/>
        </w:rPr>
        <w:t>most indicative by far of a country’s current conduciveness to Islamic Fintech specifically</w:t>
      </w:r>
      <w:r w:rsidR="00676CDC">
        <w:rPr>
          <w:rFonts w:ascii="Arial" w:hAnsi="Arial" w:cs="Arial"/>
          <w:sz w:val="22"/>
          <w:szCs w:val="22"/>
        </w:rPr>
        <w:t xml:space="preserve">. </w:t>
      </w:r>
      <w:r w:rsidR="00783E27">
        <w:rPr>
          <w:rFonts w:ascii="Arial" w:hAnsi="Arial" w:cs="Arial"/>
          <w:sz w:val="22"/>
          <w:szCs w:val="22"/>
        </w:rPr>
        <w:t xml:space="preserve">Saudi Arabia and Malaysia dominate with </w:t>
      </w:r>
      <w:r w:rsidR="00676CDC">
        <w:rPr>
          <w:rFonts w:ascii="Arial" w:hAnsi="Arial" w:cs="Arial"/>
          <w:sz w:val="22"/>
          <w:szCs w:val="22"/>
        </w:rPr>
        <w:t>15 of the top 20</w:t>
      </w:r>
      <w:r w:rsidR="00783E27">
        <w:rPr>
          <w:rFonts w:ascii="Arial" w:hAnsi="Arial" w:cs="Arial"/>
          <w:sz w:val="22"/>
          <w:szCs w:val="22"/>
        </w:rPr>
        <w:t xml:space="preserve"> counties from amongst the OIC countries.</w:t>
      </w:r>
      <w:r w:rsidR="00676CDC">
        <w:rPr>
          <w:rFonts w:ascii="Arial" w:hAnsi="Arial" w:cs="Arial"/>
          <w:sz w:val="22"/>
          <w:szCs w:val="22"/>
        </w:rPr>
        <w:t xml:space="preserve"> </w:t>
      </w:r>
      <w:r w:rsidR="00676CDC" w:rsidRPr="00676CDC">
        <w:rPr>
          <w:rFonts w:ascii="Arial" w:hAnsi="Arial" w:cs="Arial"/>
          <w:sz w:val="22"/>
          <w:szCs w:val="22"/>
        </w:rPr>
        <w:t xml:space="preserve"> </w:t>
      </w:r>
    </w:p>
    <w:p w14:paraId="11D377E4" w14:textId="3ACF60A3" w:rsidR="003F74FC" w:rsidRPr="003F74FC" w:rsidRDefault="003F74FC" w:rsidP="00783E2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The industry survey sought insight from 100 industry practitioners and discovered signals of a maturing sector with </w:t>
      </w:r>
      <w:r w:rsidR="00783E27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Consumer Education, </w:t>
      </w:r>
      <w:r w:rsidR="00783E27" w:rsidRPr="00783E27">
        <w:rPr>
          <w:rFonts w:ascii="Arial" w:eastAsia="Times New Roman" w:hAnsi="Arial" w:cs="Arial"/>
          <w:sz w:val="22"/>
          <w:szCs w:val="22"/>
          <w:lang w:eastAsia="en-GB"/>
        </w:rPr>
        <w:t xml:space="preserve">Access to Capital, Regulation, </w:t>
      </w:r>
      <w:r w:rsidR="00783E27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Finding Talent </w:t>
      </w:r>
      <w:r w:rsidR="00783E27" w:rsidRPr="00783E27">
        <w:rPr>
          <w:rFonts w:ascii="Arial" w:eastAsia="Times New Roman" w:hAnsi="Arial" w:cs="Arial"/>
          <w:sz w:val="22"/>
          <w:szCs w:val="22"/>
          <w:lang w:eastAsia="en-GB"/>
        </w:rPr>
        <w:t>and cost of Customer Acquisition the biggest hurdles</w:t>
      </w:r>
      <w:r w:rsidR="00783E2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faced by Islamic Fintechs today. </w:t>
      </w:r>
    </w:p>
    <w:p w14:paraId="5ADC0A21" w14:textId="3FF297B6" w:rsidR="003F74FC" w:rsidRPr="003F74FC" w:rsidRDefault="00783E27" w:rsidP="00783E27">
      <w:pPr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Commenting on the report,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Abdul Haseeb Basit, Co-Founder and Principal at Elipses and the report’s </w:t>
      </w:r>
      <w:r>
        <w:rPr>
          <w:rFonts w:ascii="Arial" w:eastAsia="Times New Roman" w:hAnsi="Arial" w:cs="Arial"/>
          <w:sz w:val="22"/>
          <w:szCs w:val="22"/>
          <w:lang w:eastAsia="en-GB"/>
        </w:rPr>
        <w:t>co-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>author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said; 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>“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The GIFT Report 202</w:t>
      </w:r>
      <w:r w:rsidR="007800E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2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</w:t>
      </w:r>
      <w:r w:rsidR="007800E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showcases a maturing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Islamic Fintech</w:t>
      </w:r>
      <w:r w:rsidR="007800E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 sector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. The number of </w:t>
      </w:r>
      <w:r w:rsidR="007800E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Islamic 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Fintechs identified </w:t>
      </w:r>
      <w:r w:rsidR="007800E7">
        <w:rPr>
          <w:rFonts w:ascii="Arial" w:eastAsia="Times New Roman" w:hAnsi="Arial" w:cs="Arial"/>
          <w:i/>
          <w:iCs/>
          <w:sz w:val="22"/>
          <w:szCs w:val="22"/>
          <w:lang w:eastAsia="en-GB"/>
        </w:rPr>
        <w:t xml:space="preserve">globally has significantly increased year on year and many OIC hubs have made large gains in their conduciveness to Islamic Fintech. The pace of market size growth has outstripped our </w:t>
      </w:r>
      <w:r w:rsidR="00C472F5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previous year’s estimates and looks set to continue growing impressively in years to come</w:t>
      </w:r>
      <w:r w:rsidR="003F74FC" w:rsidRPr="003F74FC">
        <w:rPr>
          <w:rFonts w:ascii="Arial" w:eastAsia="Times New Roman" w:hAnsi="Arial" w:cs="Arial"/>
          <w:i/>
          <w:iCs/>
          <w:sz w:val="22"/>
          <w:szCs w:val="22"/>
          <w:lang w:eastAsia="en-GB"/>
        </w:rPr>
        <w:t>”</w:t>
      </w:r>
      <w:r w:rsidR="003F74FC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5907405A" w14:textId="209438CC" w:rsidR="003F74FC" w:rsidRPr="005C2B13" w:rsidRDefault="007E6A41" w:rsidP="003F74FC">
      <w:pPr>
        <w:shd w:val="clear" w:color="auto" w:fill="FFFFFF"/>
        <w:spacing w:before="100" w:beforeAutospacing="1" w:after="100" w:afterAutospacing="1"/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</w:pP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lastRenderedPageBreak/>
        <w:t>Dr.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sz w:val="22"/>
          <w:szCs w:val="22"/>
          <w:lang w:eastAsia="en-GB"/>
        </w:rPr>
        <w:t>Sayd</w:t>
      </w:r>
      <w:proofErr w:type="spellEnd"/>
      <w:r>
        <w:rPr>
          <w:rFonts w:ascii="Arial" w:eastAsia="Times New Roman" w:hAnsi="Arial" w:cs="Arial"/>
          <w:sz w:val="22"/>
          <w:szCs w:val="22"/>
          <w:lang w:eastAsia="en-GB"/>
        </w:rPr>
        <w:t xml:space="preserve"> Farook,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Senior 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>Partner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and Member of the Board, </w:t>
      </w:r>
      <w:proofErr w:type="spellStart"/>
      <w:r w:rsidRPr="003F74FC">
        <w:rPr>
          <w:rFonts w:ascii="Arial" w:eastAsia="Times New Roman" w:hAnsi="Arial" w:cs="Arial"/>
          <w:sz w:val="22"/>
          <w:szCs w:val="22"/>
          <w:lang w:eastAsia="en-GB"/>
        </w:rPr>
        <w:t>DinarStandard</w:t>
      </w:r>
      <w:proofErr w:type="spellEnd"/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and </w:t>
      </w:r>
      <w:r>
        <w:rPr>
          <w:rFonts w:ascii="Arial" w:eastAsia="Times New Roman" w:hAnsi="Arial" w:cs="Arial"/>
          <w:sz w:val="22"/>
          <w:szCs w:val="22"/>
          <w:lang w:eastAsia="en-GB"/>
        </w:rPr>
        <w:t>co-Author of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the report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commented: 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“</w:t>
      </w:r>
      <w:r w:rsid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As the leading growth strategy research and advisory firm for OIC markets, Dinar Standard has been at the forefront of identifying opportunities in the OIC markets for more than 15 years. 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While almost 30% of global Muslim population are concentrated in South and South East Asia</w:t>
      </w:r>
      <w:r w:rsidR="002536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in just 4 countries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, the number of </w:t>
      </w:r>
      <w:r w:rsid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Islamic 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Fintechs serving them still account for less </w:t>
      </w:r>
      <w:proofErr w:type="spellStart"/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then</w:t>
      </w:r>
      <w:proofErr w:type="spellEnd"/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7% of the </w:t>
      </w:r>
      <w:r w:rsid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Islamic 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Fintechs worldwide. This is a gap as well as a very </w:t>
      </w:r>
      <w:r w:rsidR="000C4B49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significant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opportunity</w:t>
      </w:r>
      <w:r w:rsidR="002536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for both Islamic </w:t>
      </w:r>
      <w:r w:rsidR="000C4B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Fintechs</w:t>
      </w:r>
      <w:r w:rsidR="002536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and other institutions as well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. Who</w:t>
      </w:r>
      <w:r w:rsid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ever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tap</w:t>
      </w:r>
      <w:r w:rsidR="002536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s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 into that market effectively can be the next </w:t>
      </w:r>
      <w:r w:rsidR="00253649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 xml:space="preserve">Islamic </w:t>
      </w:r>
      <w:r w:rsidR="00840463" w:rsidRPr="005C2B13"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Fintech unicorn.</w:t>
      </w:r>
      <w:r>
        <w:rPr>
          <w:rFonts w:ascii="Arial" w:hAnsi="Arial" w:cs="Arial"/>
          <w:i/>
          <w:iCs/>
          <w:color w:val="1D1C1D"/>
          <w:sz w:val="23"/>
          <w:szCs w:val="23"/>
          <w:shd w:val="clear" w:color="auto" w:fill="FFFFFF"/>
        </w:rPr>
        <w:t>”</w:t>
      </w:r>
      <w:r w:rsidR="00840463"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063CB050" w14:textId="4BC35091" w:rsidR="003F74FC" w:rsidRPr="003F74FC" w:rsidRDefault="003F74FC" w:rsidP="003F74F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>The Global Islamic Fintech Report 20</w:t>
      </w:r>
      <w:r w:rsidR="00783E27">
        <w:rPr>
          <w:rFonts w:ascii="Arial" w:eastAsia="Times New Roman" w:hAnsi="Arial" w:cs="Arial"/>
          <w:sz w:val="22"/>
          <w:szCs w:val="22"/>
          <w:lang w:eastAsia="en-GB"/>
        </w:rPr>
        <w:t>22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has been produced in partnership with SalaamGateway.com, the largest Islamic economy news and media platform. Strategic partners of this year’s GIFT Report include Qatar Financial Centre Authority (QFC),</w:t>
      </w:r>
      <w:r w:rsidR="00783E27">
        <w:rPr>
          <w:rFonts w:ascii="Arial" w:eastAsia="Times New Roman" w:hAnsi="Arial" w:cs="Arial"/>
          <w:sz w:val="22"/>
          <w:szCs w:val="22"/>
          <w:lang w:eastAsia="en-GB"/>
        </w:rPr>
        <w:t xml:space="preserve"> A</w:t>
      </w:r>
      <w:r w:rsidR="00B945AB">
        <w:rPr>
          <w:rFonts w:ascii="Arial" w:eastAsia="Times New Roman" w:hAnsi="Arial" w:cs="Arial"/>
          <w:sz w:val="22"/>
          <w:szCs w:val="22"/>
          <w:lang w:eastAsia="en-GB"/>
        </w:rPr>
        <w:t>LAMI</w:t>
      </w:r>
      <w:r w:rsidR="00783E27">
        <w:rPr>
          <w:rFonts w:ascii="Arial" w:eastAsia="Times New Roman" w:hAnsi="Arial" w:cs="Arial"/>
          <w:sz w:val="22"/>
          <w:szCs w:val="22"/>
          <w:lang w:eastAsia="en-GB"/>
        </w:rPr>
        <w:t xml:space="preserve">, </w:t>
      </w:r>
      <w:proofErr w:type="spellStart"/>
      <w:r w:rsidR="00783E27">
        <w:rPr>
          <w:rFonts w:ascii="Arial" w:eastAsia="Times New Roman" w:hAnsi="Arial" w:cs="Arial"/>
          <w:sz w:val="22"/>
          <w:szCs w:val="22"/>
          <w:lang w:eastAsia="en-GB"/>
        </w:rPr>
        <w:t>Aoin</w:t>
      </w:r>
      <w:proofErr w:type="spellEnd"/>
      <w:r w:rsidR="00783E27">
        <w:rPr>
          <w:rFonts w:ascii="Arial" w:eastAsia="Times New Roman" w:hAnsi="Arial" w:cs="Arial"/>
          <w:sz w:val="22"/>
          <w:szCs w:val="22"/>
          <w:lang w:eastAsia="en-GB"/>
        </w:rPr>
        <w:t xml:space="preserve"> Digital,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DDCAP Group</w:t>
      </w:r>
      <w:r w:rsidRPr="003F74FC">
        <w:rPr>
          <w:rFonts w:ascii="Arial" w:eastAsia="Times New Roman" w:hAnsi="Arial" w:cs="Arial"/>
          <w:position w:val="8"/>
          <w:sz w:val="15"/>
          <w:szCs w:val="15"/>
          <w:vertAlign w:val="superscript"/>
          <w:lang w:eastAsia="en-GB"/>
        </w:rPr>
        <w:t>TM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783E27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B945AB">
        <w:rPr>
          <w:rFonts w:ascii="Arial" w:eastAsia="Times New Roman" w:hAnsi="Arial" w:cs="Arial"/>
          <w:sz w:val="22"/>
          <w:szCs w:val="22"/>
          <w:lang w:eastAsia="en-GB"/>
        </w:rPr>
        <w:t xml:space="preserve">IFIN Services, </w:t>
      </w:r>
      <w:proofErr w:type="spellStart"/>
      <w:r w:rsidR="00B945AB" w:rsidRPr="00B945AB">
        <w:rPr>
          <w:rFonts w:ascii="Arial" w:eastAsia="Times New Roman" w:hAnsi="Arial" w:cs="Arial"/>
          <w:sz w:val="22"/>
          <w:szCs w:val="22"/>
          <w:lang w:eastAsia="en-GB"/>
        </w:rPr>
        <w:t>Asosiasi</w:t>
      </w:r>
      <w:proofErr w:type="spellEnd"/>
      <w:r w:rsidR="00B945AB" w:rsidRPr="00B945AB">
        <w:rPr>
          <w:rFonts w:ascii="Arial" w:eastAsia="Times New Roman" w:hAnsi="Arial" w:cs="Arial"/>
          <w:sz w:val="22"/>
          <w:szCs w:val="22"/>
          <w:lang w:eastAsia="en-GB"/>
        </w:rPr>
        <w:t xml:space="preserve"> Fintech Syariah Indonesia </w:t>
      </w:r>
      <w:r w:rsidR="00B945AB">
        <w:rPr>
          <w:rFonts w:ascii="Arial" w:eastAsia="Times New Roman" w:hAnsi="Arial" w:cs="Arial"/>
          <w:sz w:val="22"/>
          <w:szCs w:val="22"/>
          <w:lang w:eastAsia="en-GB"/>
        </w:rPr>
        <w:t xml:space="preserve">(AFSI) </w:t>
      </w:r>
      <w:r w:rsidR="00783E27">
        <w:rPr>
          <w:rFonts w:ascii="Arial" w:eastAsia="Times New Roman" w:hAnsi="Arial" w:cs="Arial"/>
          <w:sz w:val="22"/>
          <w:szCs w:val="22"/>
          <w:lang w:eastAsia="en-GB"/>
        </w:rPr>
        <w:t>and KNEKS.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6144AAF4" w14:textId="58789029" w:rsidR="003F74FC" w:rsidRPr="003F74FC" w:rsidRDefault="003F74FC" w:rsidP="003F74F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The full report is available for download at: </w:t>
      </w:r>
      <w:r w:rsidRPr="003F74FC">
        <w:rPr>
          <w:rFonts w:ascii="Arial" w:eastAsia="Times New Roman" w:hAnsi="Arial" w:cs="Arial"/>
          <w:color w:val="0260BF"/>
          <w:sz w:val="22"/>
          <w:szCs w:val="22"/>
          <w:lang w:eastAsia="en-GB"/>
        </w:rPr>
        <w:t>https://www.salaamgateway.com/specialcoverage/islamic-fintech-202</w:t>
      </w:r>
      <w:r w:rsidR="00783E27">
        <w:rPr>
          <w:rFonts w:ascii="Arial" w:eastAsia="Times New Roman" w:hAnsi="Arial" w:cs="Arial"/>
          <w:color w:val="0260BF"/>
          <w:sz w:val="22"/>
          <w:szCs w:val="22"/>
          <w:lang w:eastAsia="en-GB"/>
        </w:rPr>
        <w:t>2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225F2DD5" w14:textId="77777777" w:rsidR="003F74FC" w:rsidRPr="003F74FC" w:rsidRDefault="003F74FC" w:rsidP="003F74F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sz w:val="22"/>
          <w:szCs w:val="22"/>
          <w:lang w:eastAsia="en-GB"/>
        </w:rPr>
        <w:t xml:space="preserve">ENDS </w:t>
      </w:r>
    </w:p>
    <w:p w14:paraId="72C159EB" w14:textId="571BAC2D" w:rsidR="0044216C" w:rsidRDefault="003F74FC" w:rsidP="00783E2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Media Contact:</w:t>
      </w:r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br/>
        <w:t xml:space="preserve">Reem El </w:t>
      </w:r>
      <w:proofErr w:type="spellStart"/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Shafaki</w:t>
      </w:r>
      <w:proofErr w:type="spellEnd"/>
      <w:r w:rsidRPr="003F74FC">
        <w:rPr>
          <w:rFonts w:ascii="Arial" w:eastAsia="Times New Roman" w:hAnsi="Arial" w:cs="Arial"/>
          <w:b/>
          <w:bCs/>
          <w:sz w:val="22"/>
          <w:szCs w:val="22"/>
          <w:lang w:eastAsia="en-GB"/>
        </w:rPr>
        <w:br/>
      </w:r>
      <w:proofErr w:type="spellStart"/>
      <w:r w:rsidRPr="003F74FC">
        <w:rPr>
          <w:rFonts w:ascii="Arial" w:eastAsia="Times New Roman" w:hAnsi="Arial" w:cs="Arial"/>
          <w:sz w:val="22"/>
          <w:szCs w:val="22"/>
          <w:lang w:eastAsia="en-GB"/>
        </w:rPr>
        <w:t>DinarStandard</w:t>
      </w:r>
      <w:proofErr w:type="spellEnd"/>
      <w:r w:rsidRPr="003F74FC">
        <w:rPr>
          <w:rFonts w:ascii="Arial" w:eastAsia="Times New Roman" w:hAnsi="Arial" w:cs="Arial"/>
          <w:sz w:val="22"/>
          <w:szCs w:val="22"/>
          <w:lang w:eastAsia="en-GB"/>
        </w:rPr>
        <w:br/>
        <w:t>Phone: +9083096146</w:t>
      </w:r>
      <w:r w:rsidRPr="003F74FC">
        <w:rPr>
          <w:rFonts w:ascii="Arial" w:eastAsia="Times New Roman" w:hAnsi="Arial" w:cs="Arial"/>
          <w:sz w:val="22"/>
          <w:szCs w:val="22"/>
          <w:lang w:eastAsia="en-GB"/>
        </w:rPr>
        <w:br/>
        <w:t xml:space="preserve">Email: reem.elshafaki@dinarstandard.com </w:t>
      </w:r>
    </w:p>
    <w:p w14:paraId="5BA92D96" w14:textId="0446BB46" w:rsidR="00253649" w:rsidRDefault="00253649" w:rsidP="00783E2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88B0F7F" w14:textId="7DD35656" w:rsidR="00253649" w:rsidRPr="00253649" w:rsidRDefault="00253649" w:rsidP="00783E27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eastAsia="en-GB"/>
        </w:rPr>
      </w:pPr>
      <w:r w:rsidRPr="00253649">
        <w:rPr>
          <w:rFonts w:ascii="Arial" w:hAnsi="Arial" w:cs="Arial"/>
          <w:b/>
          <w:bCs/>
          <w:sz w:val="22"/>
          <w:szCs w:val="22"/>
        </w:rPr>
        <w:t xml:space="preserve">About </w:t>
      </w:r>
      <w:proofErr w:type="spellStart"/>
      <w:r w:rsidRPr="00253649">
        <w:rPr>
          <w:rFonts w:ascii="Arial" w:hAnsi="Arial" w:cs="Arial"/>
          <w:b/>
          <w:bCs/>
          <w:sz w:val="22"/>
          <w:szCs w:val="22"/>
        </w:rPr>
        <w:t>DinarStandard</w:t>
      </w:r>
      <w:proofErr w:type="spellEnd"/>
      <w:r w:rsidRPr="00253649">
        <w:rPr>
          <w:rFonts w:ascii="Arial" w:hAnsi="Arial" w:cs="Arial"/>
          <w:sz w:val="22"/>
          <w:szCs w:val="22"/>
        </w:rPr>
        <w:br/>
      </w:r>
      <w:proofErr w:type="spellStart"/>
      <w:r w:rsidRPr="00253649">
        <w:rPr>
          <w:rFonts w:ascii="Arial" w:hAnsi="Arial" w:cs="Arial"/>
          <w:sz w:val="22"/>
          <w:szCs w:val="22"/>
        </w:rPr>
        <w:t>DinarStandard</w:t>
      </w:r>
      <w:proofErr w:type="spellEnd"/>
      <w:r w:rsidRPr="00253649">
        <w:rPr>
          <w:rFonts w:ascii="Arial" w:hAnsi="Arial" w:cs="Arial"/>
          <w:sz w:val="22"/>
          <w:szCs w:val="22"/>
        </w:rPr>
        <w:t xml:space="preserve">™   is   a   growth   strategy   research   and   execution   management   firm, empowering   organizations   for profitable and responsible global impact. </w:t>
      </w:r>
      <w:proofErr w:type="spellStart"/>
      <w:r w:rsidRPr="00253649">
        <w:rPr>
          <w:rFonts w:ascii="Arial" w:hAnsi="Arial" w:cs="Arial"/>
          <w:sz w:val="22"/>
          <w:szCs w:val="22"/>
        </w:rPr>
        <w:t>DinarStandard</w:t>
      </w:r>
      <w:proofErr w:type="spellEnd"/>
      <w:r w:rsidRPr="00253649">
        <w:rPr>
          <w:rFonts w:ascii="Arial" w:hAnsi="Arial" w:cs="Arial"/>
          <w:sz w:val="22"/>
          <w:szCs w:val="22"/>
        </w:rPr>
        <w:t xml:space="preserve"> specializes in the global halal/ethical economy, government innovation, and   the   social   impact   space.   Since   2008, </w:t>
      </w:r>
      <w:proofErr w:type="spellStart"/>
      <w:r w:rsidRPr="00253649">
        <w:rPr>
          <w:rFonts w:ascii="Arial" w:hAnsi="Arial" w:cs="Arial"/>
          <w:sz w:val="22"/>
          <w:szCs w:val="22"/>
        </w:rPr>
        <w:t>DinarStandard</w:t>
      </w:r>
      <w:proofErr w:type="spellEnd"/>
      <w:r w:rsidRPr="00253649">
        <w:rPr>
          <w:rFonts w:ascii="Arial" w:hAnsi="Arial" w:cs="Arial"/>
          <w:sz w:val="22"/>
          <w:szCs w:val="22"/>
        </w:rPr>
        <w:t xml:space="preserve">   has   supported   over   30   government   entities, investment   </w:t>
      </w:r>
      <w:proofErr w:type="gramStart"/>
      <w:r w:rsidRPr="00253649">
        <w:rPr>
          <w:rFonts w:ascii="Arial" w:hAnsi="Arial" w:cs="Arial"/>
          <w:sz w:val="22"/>
          <w:szCs w:val="22"/>
        </w:rPr>
        <w:t>institutions,  industry</w:t>
      </w:r>
      <w:proofErr w:type="gramEnd"/>
      <w:r w:rsidRPr="00253649">
        <w:rPr>
          <w:rFonts w:ascii="Arial" w:hAnsi="Arial" w:cs="Arial"/>
          <w:sz w:val="22"/>
          <w:szCs w:val="22"/>
        </w:rPr>
        <w:t xml:space="preserve">   leaders,   and   multi-laterals   from   over   12   countries   worldwide.   Its   unique   value- proposition is rooted in delivering original facts and foresight-driven client impact grounded in excellence and ethics.</w:t>
      </w:r>
    </w:p>
    <w:sectPr w:rsidR="00253649" w:rsidRPr="00253649" w:rsidSect="00CA2F4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FFD56" w14:textId="77777777" w:rsidR="00302418" w:rsidRDefault="00302418" w:rsidP="003F74FC">
      <w:r>
        <w:separator/>
      </w:r>
    </w:p>
  </w:endnote>
  <w:endnote w:type="continuationSeparator" w:id="0">
    <w:p w14:paraId="62B20739" w14:textId="77777777" w:rsidR="00302418" w:rsidRDefault="00302418" w:rsidP="003F7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7CF27" w14:textId="77777777" w:rsidR="00302418" w:rsidRDefault="00302418" w:rsidP="003F74FC">
      <w:r>
        <w:separator/>
      </w:r>
    </w:p>
  </w:footnote>
  <w:footnote w:type="continuationSeparator" w:id="0">
    <w:p w14:paraId="5930D40E" w14:textId="77777777" w:rsidR="00302418" w:rsidRDefault="00302418" w:rsidP="003F7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A662" w14:textId="235DB141" w:rsidR="003F74FC" w:rsidRDefault="003F74FC" w:rsidP="003F74FC">
    <w:pPr>
      <w:pStyle w:val="Header"/>
      <w:jc w:val="center"/>
    </w:pPr>
    <w:r w:rsidRPr="003F74FC">
      <w:rPr>
        <w:rFonts w:ascii="Times New Roman" w:eastAsia="Times New Roman" w:hAnsi="Times New Roman" w:cs="Times New Roman"/>
        <w:lang w:eastAsia="en-GB"/>
      </w:rPr>
      <w:fldChar w:fldCharType="begin"/>
    </w:r>
    <w:r w:rsidR="00CD3F5D">
      <w:rPr>
        <w:rFonts w:ascii="Times New Roman" w:eastAsia="Times New Roman" w:hAnsi="Times New Roman" w:cs="Times New Roman"/>
        <w:lang w:eastAsia="en-GB"/>
      </w:rPr>
      <w:instrText xml:space="preserve"> INCLUDEPICTURE "C:\\var\\folders\\2d\\jn9d3_61509bm9psdvhv7q540000gn\\T\\com.microsoft.Word\\WebArchiveCopyPasteTempFiles\\page2image62501680" \* MERGEFORMAT </w:instrText>
    </w:r>
    <w:r w:rsidRPr="003F74FC">
      <w:rPr>
        <w:rFonts w:ascii="Times New Roman" w:eastAsia="Times New Roman" w:hAnsi="Times New Roman" w:cs="Times New Roman"/>
        <w:lang w:eastAsia="en-GB"/>
      </w:rPr>
      <w:fldChar w:fldCharType="separate"/>
    </w:r>
    <w:r w:rsidRPr="003F74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56D6937E" wp14:editId="1B1DBD0A">
          <wp:extent cx="1864737" cy="418932"/>
          <wp:effectExtent l="0" t="0" r="2540" b="635"/>
          <wp:docPr id="2" name="Picture 2" descr="page2image625016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2image625016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033" cy="425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74FC">
      <w:rPr>
        <w:rFonts w:ascii="Times New Roman" w:eastAsia="Times New Roman" w:hAnsi="Times New Roman" w:cs="Times New Roman"/>
        <w:lang w:eastAsia="en-GB"/>
      </w:rPr>
      <w:fldChar w:fldCharType="end"/>
    </w:r>
    <w:r>
      <w:rPr>
        <w:rFonts w:ascii="Times New Roman" w:eastAsia="Times New Roman" w:hAnsi="Times New Roman" w:cs="Times New Roman"/>
        <w:lang w:eastAsia="en-GB"/>
      </w:rPr>
      <w:t xml:space="preserve">     </w:t>
    </w:r>
    <w:r w:rsidRPr="003F74FC">
      <w:rPr>
        <w:rFonts w:ascii="Times New Roman" w:eastAsia="Times New Roman" w:hAnsi="Times New Roman" w:cs="Times New Roman"/>
        <w:lang w:eastAsia="en-GB"/>
      </w:rPr>
      <w:fldChar w:fldCharType="begin"/>
    </w:r>
    <w:r w:rsidR="00CD3F5D">
      <w:rPr>
        <w:rFonts w:ascii="Times New Roman" w:eastAsia="Times New Roman" w:hAnsi="Times New Roman" w:cs="Times New Roman"/>
        <w:lang w:eastAsia="en-GB"/>
      </w:rPr>
      <w:instrText xml:space="preserve"> INCLUDEPICTURE "C:\\var\\folders\\2d\\jn9d3_61509bm9psdvhv7q540000gn\\T\\com.microsoft.Word\\WebArchiveCopyPasteTempFiles\\page2image62501888" \* MERGEFORMAT </w:instrText>
    </w:r>
    <w:r w:rsidRPr="003F74FC">
      <w:rPr>
        <w:rFonts w:ascii="Times New Roman" w:eastAsia="Times New Roman" w:hAnsi="Times New Roman" w:cs="Times New Roman"/>
        <w:lang w:eastAsia="en-GB"/>
      </w:rPr>
      <w:fldChar w:fldCharType="separate"/>
    </w:r>
    <w:r w:rsidRPr="003F74FC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2AEF6F57" wp14:editId="3E8F1FBE">
          <wp:extent cx="1548130" cy="371475"/>
          <wp:effectExtent l="0" t="0" r="1270" b="0"/>
          <wp:docPr id="1" name="Picture 1" descr="page2image62501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2image6250188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F74FC">
      <w:rPr>
        <w:rFonts w:ascii="Times New Roman" w:eastAsia="Times New Roman" w:hAnsi="Times New Roman" w:cs="Times New Roman"/>
        <w:lang w:eastAsia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04AE4"/>
    <w:multiLevelType w:val="multilevel"/>
    <w:tmpl w:val="9C12D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7330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FC"/>
    <w:rsid w:val="000C4B49"/>
    <w:rsid w:val="00253649"/>
    <w:rsid w:val="002E62F8"/>
    <w:rsid w:val="00302418"/>
    <w:rsid w:val="003968B5"/>
    <w:rsid w:val="003F6738"/>
    <w:rsid w:val="003F74FC"/>
    <w:rsid w:val="0044216C"/>
    <w:rsid w:val="005C2B13"/>
    <w:rsid w:val="00676CDC"/>
    <w:rsid w:val="006A19CA"/>
    <w:rsid w:val="0075718F"/>
    <w:rsid w:val="007800E7"/>
    <w:rsid w:val="00783E27"/>
    <w:rsid w:val="007E6A41"/>
    <w:rsid w:val="008232AA"/>
    <w:rsid w:val="00840463"/>
    <w:rsid w:val="00947ABA"/>
    <w:rsid w:val="00B945AB"/>
    <w:rsid w:val="00C472F5"/>
    <w:rsid w:val="00CA2F42"/>
    <w:rsid w:val="00C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691DC"/>
  <w15:chartTrackingRefBased/>
  <w15:docId w15:val="{9B09020E-4D37-1F4B-BF1C-EB17F1950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74F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F74F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4FC"/>
  </w:style>
  <w:style w:type="paragraph" w:styleId="Footer">
    <w:name w:val="footer"/>
    <w:basedOn w:val="Normal"/>
    <w:link w:val="FooterChar"/>
    <w:uiPriority w:val="99"/>
    <w:unhideWhenUsed/>
    <w:rsid w:val="003F74F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4FC"/>
  </w:style>
  <w:style w:type="character" w:styleId="Hyperlink">
    <w:name w:val="Hyperlink"/>
    <w:basedOn w:val="DefaultParagraphFont"/>
    <w:uiPriority w:val="99"/>
    <w:unhideWhenUsed/>
    <w:rsid w:val="00B945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5A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C2B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B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B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B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B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8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4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5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8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3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5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3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86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6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5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5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 Haseeb Basit</dc:creator>
  <cp:keywords/>
  <dc:description/>
  <cp:lastModifiedBy>Abdul Haseeb Basit</cp:lastModifiedBy>
  <cp:revision>4</cp:revision>
  <dcterms:created xsi:type="dcterms:W3CDTF">2022-07-26T20:11:00Z</dcterms:created>
  <dcterms:modified xsi:type="dcterms:W3CDTF">2022-07-27T11:56:00Z</dcterms:modified>
</cp:coreProperties>
</file>